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EA" w:rsidRDefault="00C232EA" w:rsidP="00465FE8">
      <w:pPr>
        <w:pStyle w:val="Titlu2"/>
        <w:jc w:val="right"/>
        <w:rPr>
          <w:rFonts w:ascii="Trebuchet MS" w:hAnsi="Trebuchet MS" w:cs="Arial"/>
          <w:i w:val="0"/>
          <w:sz w:val="22"/>
          <w:szCs w:val="22"/>
          <w:lang w:val="ro-RO"/>
        </w:rPr>
      </w:pPr>
      <w:bookmarkStart w:id="0" w:name="_Toc435686845"/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Anexa </w:t>
      </w:r>
      <w:r w:rsidR="00724D78" w:rsidRPr="00B66894">
        <w:rPr>
          <w:rFonts w:ascii="Trebuchet MS" w:hAnsi="Trebuchet MS" w:cs="Arial"/>
          <w:i w:val="0"/>
          <w:sz w:val="22"/>
          <w:szCs w:val="22"/>
          <w:lang w:val="ro-RO"/>
        </w:rPr>
        <w:t>3</w:t>
      </w:r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– </w:t>
      </w:r>
      <w:r w:rsidR="00C320CA">
        <w:rPr>
          <w:rFonts w:ascii="Trebuchet MS" w:hAnsi="Trebuchet MS" w:cs="Arial"/>
          <w:i w:val="0"/>
          <w:sz w:val="22"/>
          <w:szCs w:val="22"/>
          <w:lang w:val="ro-RO"/>
        </w:rPr>
        <w:t>Grila</w:t>
      </w:r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de evaluare şi selecţie tehnică şi financiară</w:t>
      </w:r>
      <w:bookmarkEnd w:id="0"/>
      <w:r w:rsidRPr="00B66894">
        <w:rPr>
          <w:rFonts w:ascii="Trebuchet MS" w:hAnsi="Trebuchet MS" w:cs="Arial"/>
          <w:i w:val="0"/>
          <w:sz w:val="22"/>
          <w:szCs w:val="22"/>
          <w:lang w:val="ro-RO"/>
        </w:rPr>
        <w:t xml:space="preserve"> </w:t>
      </w:r>
    </w:p>
    <w:p w:rsidR="004A76C2" w:rsidRDefault="004A76C2" w:rsidP="004A76C2">
      <w:pPr>
        <w:rPr>
          <w:lang w:val="ro-RO"/>
        </w:rPr>
      </w:pPr>
    </w:p>
    <w:tbl>
      <w:tblPr>
        <w:tblW w:w="14900" w:type="dxa"/>
        <w:tblInd w:w="-605" w:type="dxa"/>
        <w:tblLook w:val="04A0" w:firstRow="1" w:lastRow="0" w:firstColumn="1" w:lastColumn="0" w:noHBand="0" w:noVBand="1"/>
      </w:tblPr>
      <w:tblGrid>
        <w:gridCol w:w="444"/>
        <w:gridCol w:w="674"/>
        <w:gridCol w:w="10064"/>
        <w:gridCol w:w="1003"/>
        <w:gridCol w:w="2715"/>
      </w:tblGrid>
      <w:tr w:rsidR="004A76C2" w:rsidRPr="004A76C2" w:rsidTr="00B664B2">
        <w:trPr>
          <w:trHeight w:val="960"/>
        </w:trPr>
        <w:tc>
          <w:tcPr>
            <w:tcW w:w="11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Criteriu/ Subcriteriu de evaluare și selecție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Modalitate de acordare punctaj pe subcriterii</w:t>
            </w:r>
          </w:p>
        </w:tc>
      </w:tr>
      <w:tr w:rsidR="004A76C2" w:rsidRPr="004A76C2" w:rsidTr="00B664B2">
        <w:trPr>
          <w:trHeight w:val="12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60497A"/>
            </w:tcBorders>
            <w:shd w:val="clear" w:color="000000" w:fill="C4D79B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RELEVANȚĂ – măsura în care proiectul contribuie la realizarea obiectivelor din documentele strategice relevante şi la soluționarea nevoilor specifice ale grupului țintă (maxim 30 puncte;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60497A"/>
            </w:tcBorders>
            <w:shd w:val="clear" w:color="000000" w:fill="C4D79B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82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Proiectul contribuie la îndeplinirea obiectivelor din documentele strategice relevante pentru proiect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A76C2" w:rsidRDefault="00183BF0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:rsidTr="00B664B2">
        <w:trPr>
          <w:trHeight w:val="449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C2" w:rsidRPr="004A76C2" w:rsidRDefault="004A76C2" w:rsidP="00410DCA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Prin proiect se asigură implementarea măsurilor incluse în 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Strategia Națională pentru Ocuparea Forței de Muncă (SNOFM) 2014-2020?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557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C2" w:rsidRPr="004A76C2" w:rsidRDefault="004A76C2" w:rsidP="00410DC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Prin proiect se asigură implementarea măsurilor incluse în 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Strategia Guvernului României de Incluziune a Cetățenilor Români aparținând Minorității Romilor 2015-2020?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530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C2" w:rsidRPr="004A76C2" w:rsidRDefault="004A76C2" w:rsidP="00410DC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Prin proiect se asigură implementarea măsurilor incluse în</w:t>
            </w:r>
            <w:r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Strategia Națională privind Incluziunea Socială și Reducerea Sărăciei pentru perioada 2015-2020?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A76C2" w:rsidRPr="004A76C2" w:rsidRDefault="004A76C2" w:rsidP="00341DFC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Grupul țintă al proiectului este definit clar si cuantifica</w:t>
            </w:r>
            <w:r w:rsidR="00341DFC">
              <w:rPr>
                <w:rFonts w:ascii="Trebuchet MS" w:hAnsi="Trebuchet MS"/>
                <w:b/>
                <w:bCs/>
                <w:sz w:val="22"/>
                <w:szCs w:val="22"/>
              </w:rPr>
              <w:t>t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, in relatie cu analiza de nevoi si resursele din cadrul proiectului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:rsidTr="00B664B2">
        <w:trPr>
          <w:trHeight w:val="746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C2" w:rsidRPr="004A76C2" w:rsidRDefault="00285374" w:rsidP="00F15325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Natura</w:t>
            </w:r>
            <w:r w:rsidR="004A76C2" w:rsidRPr="004A76C2">
              <w:rPr>
                <w:rFonts w:ascii="Trebuchet MS" w:hAnsi="Trebuchet MS"/>
                <w:sz w:val="22"/>
                <w:szCs w:val="22"/>
              </w:rPr>
              <w:t xml:space="preserve"> și dimeniunea grupului țintă </w:t>
            </w:r>
            <w:r w:rsidR="00F15325" w:rsidRPr="00F15325">
              <w:rPr>
                <w:rFonts w:ascii="Trebuchet MS" w:hAnsi="Trebuchet MS"/>
                <w:i/>
                <w:sz w:val="22"/>
                <w:szCs w:val="22"/>
              </w:rPr>
              <w:t>Tineri NEETs șomeri cu vârsta între 16-24 ani, cu domiciliul sau reședința în regiunile eligibile, înregistrați și profilați de către SPO, cu accent pe tinerii NEET din mediul rural și cei aparținând minorității roma</w:t>
            </w:r>
            <w:r w:rsidR="00F15325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A76C2" w:rsidRPr="004A76C2">
              <w:rPr>
                <w:rFonts w:ascii="Trebuchet MS" w:hAnsi="Trebuchet MS"/>
                <w:sz w:val="22"/>
                <w:szCs w:val="22"/>
              </w:rPr>
              <w:t>sunt corelate cu natura si complexitatea activităților implementate şi cu resursele p</w:t>
            </w:r>
            <w:r w:rsidR="00841C48">
              <w:rPr>
                <w:rFonts w:ascii="Trebuchet MS" w:hAnsi="Trebuchet MS"/>
                <w:sz w:val="22"/>
                <w:szCs w:val="22"/>
              </w:rPr>
              <w:t xml:space="preserve">use la dispoziție prin proiect </w:t>
            </w:r>
            <w:r w:rsidR="004A76C2" w:rsidRPr="004A76C2">
              <w:rPr>
                <w:rFonts w:ascii="Trebuchet MS" w:hAnsi="Trebuchet MS"/>
                <w:i/>
                <w:iCs/>
                <w:sz w:val="22"/>
                <w:szCs w:val="22"/>
              </w:rPr>
              <w:t>(NB Grupul țintă este compus doar din persoanele care beneficiază în mod direct de activități)</w:t>
            </w:r>
            <w:r w:rsidR="004A76C2" w:rsidRPr="004A76C2">
              <w:rPr>
                <w:rFonts w:ascii="Trebuchet MS" w:hAnsi="Trebuchet MS"/>
                <w:sz w:val="22"/>
                <w:szCs w:val="22"/>
              </w:rPr>
              <w:t>?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584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A76C2" w:rsidRPr="004A76C2" w:rsidRDefault="00410DCA" w:rsidP="00F15325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Categoria</w:t>
            </w:r>
            <w:r w:rsidR="0062493B">
              <w:rPr>
                <w:rFonts w:ascii="Trebuchet MS" w:hAnsi="Trebuchet MS"/>
                <w:sz w:val="22"/>
                <w:szCs w:val="22"/>
              </w:rPr>
              <w:t xml:space="preserve"> de grup țintă </w:t>
            </w:r>
            <w:r w:rsidR="004A76C2" w:rsidRPr="004A76C2">
              <w:rPr>
                <w:rFonts w:ascii="Trebuchet MS" w:hAnsi="Trebuchet MS"/>
                <w:sz w:val="22"/>
                <w:szCs w:val="22"/>
              </w:rPr>
              <w:t xml:space="preserve">care beneficiază de interventie </w:t>
            </w:r>
            <w:r w:rsidR="00F15325">
              <w:rPr>
                <w:rFonts w:ascii="Trebuchet MS" w:hAnsi="Trebuchet MS"/>
                <w:sz w:val="22"/>
                <w:szCs w:val="22"/>
              </w:rPr>
              <w:t>este clar delimitata şi identificata</w:t>
            </w:r>
            <w:r w:rsidR="004A76C2" w:rsidRPr="004A76C2">
              <w:rPr>
                <w:rFonts w:ascii="Trebuchet MS" w:hAnsi="Trebuchet MS"/>
                <w:sz w:val="22"/>
                <w:szCs w:val="22"/>
              </w:rPr>
              <w:t xml:space="preserve"> din perspectiva geografică și a nevoilor?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67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:rsidR="004A76C2" w:rsidRPr="004A76C2" w:rsidRDefault="004A76C2" w:rsidP="00410DCA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Nevoile grupului tinta sunt clar identificate, fundamentate prin analiza proprie a solicitantului, sunt specific proiectului si correlate cu obiectivele acestuia (se va face referire la sursele de informatii pentru analiza de nevoi realizata de solicitant)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:rsidTr="00B664B2">
        <w:trPr>
          <w:trHeight w:val="602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A76C2" w:rsidRDefault="004A76C2" w:rsidP="00B3221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Nevoile grupurilor tinta vizate prin proiect </w:t>
            </w:r>
            <w:r w:rsidRPr="004A76C2">
              <w:rPr>
                <w:rFonts w:ascii="Trebuchet MS" w:hAnsi="Trebuchet MS"/>
                <w:iCs/>
                <w:sz w:val="22"/>
                <w:szCs w:val="22"/>
              </w:rPr>
              <w:t>sunt identificate de catre solicitant pe baza unei analize proprii, avand ca surse alte studii, date statistice si/sau cercetarea proprie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377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prezinta detaliat metodologia si rezultatele analizei nevoilor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503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auto" w:fill="auto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E4C30" w:rsidRPr="004A76C2" w:rsidRDefault="004A76C2" w:rsidP="00FE4C30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prezintă problemele care justifică intervențiile la nivel naţional/ regional/  </w:t>
            </w:r>
            <w:r w:rsidR="00FE4C30">
              <w:rPr>
                <w:rFonts w:ascii="Trebuchet MS" w:hAnsi="Trebuchet MS"/>
                <w:sz w:val="22"/>
                <w:szCs w:val="22"/>
              </w:rPr>
              <w:t>local a nevoilor grupului țintă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6671D0" w:rsidTr="00B664B2">
        <w:trPr>
          <w:trHeight w:val="1395"/>
        </w:trPr>
        <w:tc>
          <w:tcPr>
            <w:tcW w:w="444" w:type="dxa"/>
            <w:tcBorders>
              <w:top w:val="nil"/>
              <w:left w:val="single" w:sz="4" w:space="0" w:color="366092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6C2" w:rsidRPr="006671D0" w:rsidRDefault="004A76C2" w:rsidP="008E0BC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 w:rsidR="008E0BC6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6671D0" w:rsidRDefault="004A76C2" w:rsidP="000F6DBA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Proiectul contribuie prin activitățile propuse la promovarea temelor orizontale din POCU 2014-2020, conform specificațiilor din Ghidului Solicitantului</w:t>
            </w:r>
            <w:r w:rsidR="00CC6E35"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: </w:t>
            </w:r>
            <w:r w:rsidR="000F6DBA"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Dezvoltare durabilă, egalitatea de șanse, non-discriminarea, Egalitatea între femei și bărbați, Utilizarea TIC și contribuția la dezvoltarea de competențe digitale.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6671D0" w:rsidRDefault="00B664B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6671D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6671D0" w:rsidTr="00B664B2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6671D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6671D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6C2" w:rsidRPr="006671D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6671D0" w:rsidRDefault="004A76C2" w:rsidP="00C915C3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671D0">
              <w:rPr>
                <w:rFonts w:ascii="Trebuchet MS" w:hAnsi="Trebuchet MS"/>
                <w:sz w:val="22"/>
                <w:szCs w:val="22"/>
              </w:rPr>
              <w:t xml:space="preserve">Sunt prezentate măsuri specifice prin care se asigură </w:t>
            </w:r>
            <w:r w:rsidR="00144DDA" w:rsidRPr="006671D0">
              <w:rPr>
                <w:rFonts w:ascii="Trebuchet MS" w:hAnsi="Trebuchet MS"/>
                <w:sz w:val="22"/>
                <w:szCs w:val="22"/>
              </w:rPr>
              <w:t>respectarea prevederilor legale în domeniul dezvoltarii durabile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6671D0" w:rsidRDefault="00C43FD5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6C2" w:rsidRPr="006671D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4A76C2" w:rsidRPr="006671D0" w:rsidTr="00B664B2">
        <w:trPr>
          <w:trHeight w:val="5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6671D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6671D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6C2" w:rsidRPr="006671D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6671D0" w:rsidRDefault="004A76C2" w:rsidP="00AA55FD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671D0">
              <w:rPr>
                <w:rFonts w:ascii="Trebuchet MS" w:hAnsi="Trebuchet MS"/>
                <w:sz w:val="22"/>
                <w:szCs w:val="22"/>
              </w:rPr>
              <w:t xml:space="preserve">Sunt prezentate măsuri specifice prin care se asigură respectarea prevederilor legale în domeniul </w:t>
            </w:r>
            <w:r w:rsidR="00144DDA" w:rsidRPr="006671D0">
              <w:rPr>
                <w:rFonts w:ascii="Trebuchet MS" w:hAnsi="Trebuchet MS"/>
                <w:sz w:val="22"/>
                <w:szCs w:val="22"/>
              </w:rPr>
              <w:t>non-discriminarii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6671D0" w:rsidRDefault="005934F3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6671D0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A76C2" w:rsidRPr="006671D0" w:rsidTr="00B664B2">
        <w:trPr>
          <w:trHeight w:val="62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A76C2" w:rsidRPr="006671D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76C2" w:rsidRPr="006671D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A76C2" w:rsidRPr="006671D0" w:rsidRDefault="004A76C2" w:rsidP="00144DD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671D0">
              <w:rPr>
                <w:rFonts w:ascii="Trebuchet MS" w:hAnsi="Trebuchet MS"/>
                <w:sz w:val="22"/>
                <w:szCs w:val="22"/>
              </w:rPr>
              <w:t xml:space="preserve">Sunt prezentate măsuri specifice prin care se asigură respectarea prevederilor legale în domeniul </w:t>
            </w:r>
            <w:r w:rsidR="00144DDA" w:rsidRPr="006671D0">
              <w:rPr>
                <w:rFonts w:ascii="Trebuchet MS" w:hAnsi="Trebuchet MS"/>
                <w:sz w:val="22"/>
                <w:szCs w:val="22"/>
              </w:rPr>
              <w:t>utilizarii TIC și contribuția la dezvoltarea de competențe digitale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76C2" w:rsidRPr="006671D0" w:rsidRDefault="005934F3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671D0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76C2" w:rsidRPr="006671D0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6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14560" w:rsidRDefault="004A76C2" w:rsidP="008E0BC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 w:rsidR="008E0BC6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A76C2" w:rsidRPr="00414560" w:rsidRDefault="004A76C2" w:rsidP="000F6DB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Proiectul contribuie prin activitățile propuse la promovarea temelor secundare din POCU 2014-2020, conform specificații</w:t>
            </w:r>
            <w:r w:rsidR="000F6DBA"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lor din Ghidului Solicitantului: Sprijinirea tranziției către o economie cu emisii scăzute de dioxid de carbon și eficientă din punctul de vedere al utilizării resurselor, Inovare sociala, Îmbunătățirea accesibilității, a utilizării și a calității tehnologiilor informației și comunicațiilor, Nediscriminare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14560" w:rsidRDefault="004F08B0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1456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:rsidTr="00B664B2">
        <w:trPr>
          <w:trHeight w:val="6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 xml:space="preserve">Dacă proiectul propune și fundamentează 1 dintre temele secundare:  </w:t>
            </w:r>
            <w:r w:rsidR="00F42F36" w:rsidRPr="00414560">
              <w:rPr>
                <w:rFonts w:ascii="Trebuchet MS" w:hAnsi="Trebuchet MS"/>
                <w:sz w:val="22"/>
                <w:szCs w:val="22"/>
              </w:rPr>
              <w:t>Sprijinirea tranziției către o economie cu emisii scăzute de dioxid de carbon și eficientă din punctul de vedere al utilizării resurselor/ Inovare sociala/ Îmbunătățirea accesibilității, a utilizării și a calității tehnologiilor informației și comunicațiilor/ Nediscriminare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14560" w:rsidRDefault="004F08B0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14560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30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Dacă proiectul propune și fundamentează 2 dintre temele secundare:  inovare socială/ nediscriminare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14560" w:rsidRDefault="004F08B0" w:rsidP="004F08B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9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14560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14560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14560" w:rsidRDefault="004A76C2" w:rsidP="008E0BC6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 w:rsidR="008E0BC6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A76C2" w:rsidRPr="00414560" w:rsidRDefault="004A76C2" w:rsidP="008E0BC6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Proiectul include descri</w:t>
            </w:r>
            <w:r w:rsidR="0017662B"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erea clară a solicitantului </w:t>
            </w:r>
            <w:r w:rsidR="008E0BC6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si partenerilor, daca e cazul </w:t>
            </w:r>
            <w:r w:rsidR="0017662B"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si</w:t>
            </w: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a rolului acestora, a utilității şi relevanței experienței </w:t>
            </w:r>
            <w:r w:rsidR="0017662B"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solicitantului</w:t>
            </w: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în raport cu nevoile identificate ale grupului țintă şi cu obiectivele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14560" w:rsidRDefault="00D20C2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14560" w:rsidRDefault="00005BCA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14560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E53B46" w:rsidRPr="004A76C2" w:rsidTr="00B664B2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3B46" w:rsidRPr="004A76C2" w:rsidRDefault="00E53B46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6" w:rsidRPr="004A76C2" w:rsidRDefault="00E53B4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3B46" w:rsidRPr="00E53B46" w:rsidRDefault="00E53B46" w:rsidP="00D20C22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Este descrisa experienta solicitantului</w:t>
            </w:r>
            <w:r w:rsidR="008E0BC6">
              <w:rPr>
                <w:rFonts w:ascii="Trebuchet MS" w:hAnsi="Trebuchet MS"/>
                <w:bCs/>
                <w:sz w:val="22"/>
                <w:szCs w:val="22"/>
              </w:rPr>
              <w:t xml:space="preserve"> si</w:t>
            </w:r>
            <w:r w:rsidR="00CE2EEA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8E0BC6">
              <w:rPr>
                <w:rFonts w:ascii="Trebuchet MS" w:hAnsi="Trebuchet MS"/>
                <w:bCs/>
                <w:sz w:val="22"/>
                <w:szCs w:val="22"/>
              </w:rPr>
              <w:t>a partenerilor</w:t>
            </w:r>
            <w:r>
              <w:rPr>
                <w:rFonts w:ascii="Trebuchet MS" w:hAnsi="Trebuchet MS"/>
                <w:bCs/>
                <w:sz w:val="22"/>
                <w:szCs w:val="22"/>
              </w:rPr>
              <w:t>,</w:t>
            </w:r>
            <w:r w:rsidR="008E0BC6">
              <w:rPr>
                <w:rFonts w:ascii="Trebuchet MS" w:hAnsi="Trebuchet MS"/>
                <w:bCs/>
                <w:sz w:val="22"/>
                <w:szCs w:val="22"/>
              </w:rPr>
              <w:t xml:space="preserve">implicarea acestora in proiect si sunt prezentate resursele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material</w:t>
            </w:r>
            <w:r w:rsidR="00005BCA">
              <w:rPr>
                <w:rFonts w:ascii="Trebuchet MS" w:hAnsi="Trebuchet MS"/>
                <w:bCs/>
                <w:sz w:val="22"/>
                <w:szCs w:val="22"/>
              </w:rPr>
              <w:t>e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si umane pe care le pune </w:t>
            </w:r>
            <w:r w:rsidR="008E0BC6">
              <w:rPr>
                <w:rFonts w:ascii="Trebuchet MS" w:hAnsi="Trebuchet MS"/>
                <w:bCs/>
                <w:sz w:val="22"/>
                <w:szCs w:val="22"/>
              </w:rPr>
              <w:t xml:space="preserve">fiecare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la dispozitie pentru implementarea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B46" w:rsidRDefault="00D20C2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6" w:rsidRPr="004A76C2" w:rsidRDefault="00E53B4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8E0BC6" w:rsidRPr="004A76C2" w:rsidTr="00B664B2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BC6" w:rsidRPr="004A76C2" w:rsidRDefault="008E0BC6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BC6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0BC6" w:rsidRDefault="008E0BC6" w:rsidP="00E53B46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CE2EEA">
              <w:rPr>
                <w:rFonts w:ascii="Trebuchet MS" w:hAnsi="Trebuchet MS"/>
                <w:bCs/>
                <w:sz w:val="22"/>
                <w:szCs w:val="22"/>
              </w:rPr>
              <w:t>Activitățile pe care le va implementa solicitantul și, dacă e cazul, fiecare dintre parteneri în cadrul proiectului au legătură directă cu activitățile pe care le va implementa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BC6" w:rsidRDefault="00CE2EEA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BC6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8E0BC6" w:rsidRPr="004A76C2" w:rsidTr="00B664B2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0BC6" w:rsidRPr="004A76C2" w:rsidRDefault="008E0BC6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BC6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0BC6" w:rsidRDefault="00CE2EEA" w:rsidP="00E53B46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CE2EEA">
              <w:rPr>
                <w:rFonts w:ascii="Trebuchet MS" w:hAnsi="Trebuchet MS"/>
                <w:bCs/>
                <w:sz w:val="22"/>
                <w:szCs w:val="22"/>
              </w:rPr>
              <w:t>Implicarea partenerului în proiect aduce plus-valoare, maximizând rezultatele proiectului şi calitatea acestora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0BC6" w:rsidRDefault="00D20C2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BC6" w:rsidRPr="004A76C2" w:rsidRDefault="008E0BC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EFICACITATE – măsura în care rezultatele proiectului contribuie la atingerea obiectivelor propuse (maxim 30 puncte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66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Indicatorii de realizare imediata sunt rezultatul direct al activităților proiectului, țintele sunt realiste (cuantificate corect) şi conduc la îndeplinirea obiectivelor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4A76C2" w:rsidRDefault="00276FDC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4A76C2" w:rsidRPr="004A76C2" w:rsidTr="00B664B2">
        <w:trPr>
          <w:trHeight w:val="386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A76C2" w:rsidRDefault="004A76C2" w:rsidP="00642EF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Exista corelare între activități, realizările imediate (natură şi ținte) şi grupul țintă (natură şi dimensiune)?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276FDC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4A76C2" w:rsidRPr="004A76C2" w:rsidTr="00B664B2">
        <w:trPr>
          <w:trHeight w:val="48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A76C2" w:rsidRDefault="00421FC4" w:rsidP="00421FC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21FC4">
              <w:rPr>
                <w:rFonts w:ascii="Trebuchet MS" w:hAnsi="Trebuchet MS"/>
                <w:sz w:val="22"/>
                <w:szCs w:val="22"/>
              </w:rPr>
              <w:t>Activităţile sunt descrise detaliat şi contribuie în mod direct la atingerea indicatorilor de realizare imediată propuşi prin proiect, având în vedere resursele financiare, uma</w:t>
            </w:r>
            <w:r>
              <w:rPr>
                <w:rFonts w:ascii="Trebuchet MS" w:hAnsi="Trebuchet MS"/>
                <w:sz w:val="22"/>
                <w:szCs w:val="22"/>
              </w:rPr>
              <w:t>ne şi materiale ale proiectului?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4A76C2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A76C2" w:rsidRPr="004A76C2" w:rsidRDefault="004A76C2" w:rsidP="00642EF1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Pentru activitatile principale din proiect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țintele indicatorilor de realizare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pentru regiunile mai puțin dezvoltate/ regiunea mai dezvoltată sunt stabilite în funcţie de tipul activităţilor, graficul de planificare a activităţilor, resursele prevăzute, natura rezultatelor?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76C2" w:rsidRPr="004A76C2" w:rsidRDefault="00276FDC" w:rsidP="00410DCA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A76C2" w:rsidRPr="004A76C2" w:rsidTr="00B664B2">
        <w:trPr>
          <w:trHeight w:val="78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2.2. 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:rsidR="004A76C2" w:rsidRPr="004A76C2" w:rsidRDefault="004A76C2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Indicatorii de rezultat imediat sunt corelați cu obiectivele proiectului şi conduc la îndeplinirea obiectivelor de program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4A76C2" w:rsidRPr="00AA33C1" w:rsidRDefault="00AC2F16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highlight w:val="cyan"/>
              </w:rPr>
            </w:pPr>
            <w:r w:rsidRPr="00420D2A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4A76C2" w:rsidRPr="004A76C2" w:rsidRDefault="004A76C2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punctajele sunt </w:t>
            </w:r>
            <w:r w:rsidR="006D5269">
              <w:rPr>
                <w:rFonts w:ascii="Trebuchet MS" w:hAnsi="Trebuchet MS"/>
                <w:b/>
                <w:bCs/>
                <w:sz w:val="22"/>
                <w:szCs w:val="22"/>
              </w:rPr>
              <w:t>cumulative pentru pct. A si B</w:t>
            </w:r>
          </w:p>
        </w:tc>
      </w:tr>
      <w:tr w:rsidR="006D5269" w:rsidRPr="004A76C2" w:rsidTr="00B664B2">
        <w:trPr>
          <w:trHeight w:val="78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410DC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D5269" w:rsidRPr="004A76C2" w:rsidRDefault="006D5269" w:rsidP="00410DC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:rsidR="006D5269" w:rsidRPr="006D5269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D5269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</w:t>
            </w:r>
            <w:r w:rsidRPr="006D5269">
              <w:rPr>
                <w:rFonts w:ascii="Trebuchet MS" w:hAnsi="Trebuchet MS"/>
                <w:b/>
                <w:sz w:val="22"/>
                <w:szCs w:val="22"/>
              </w:rPr>
              <w:t xml:space="preserve">4S2 Tineri NEETs șomeri care,  la încetarea calității de participant au un loc de muncă, inclusiv cei care desfășoară o activitate independentă,  din care: Romi, din zona rurală </w:t>
            </w:r>
            <w:r w:rsidRPr="006D5269">
              <w:rPr>
                <w:rFonts w:ascii="Trebuchet MS" w:hAnsi="Trebuchet MS"/>
                <w:b/>
                <w:bCs/>
                <w:sz w:val="22"/>
                <w:szCs w:val="22"/>
              </w:rPr>
              <w:t>este corelat cu obiectivele proiectului şi conduc la îndeplinirea obiectivelor de program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6D5269" w:rsidRPr="00420D2A" w:rsidRDefault="006D5269" w:rsidP="00410DCA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6D5269" w:rsidRPr="004A76C2" w:rsidRDefault="006D5269" w:rsidP="00796E80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disjunctive</w:t>
            </w:r>
          </w:p>
        </w:tc>
      </w:tr>
      <w:tr w:rsidR="00CC7421" w:rsidRPr="004A76C2" w:rsidTr="00B664B2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C7421" w:rsidRPr="004A76C2" w:rsidRDefault="00CC7421" w:rsidP="00CC7421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421" w:rsidRDefault="00CC7421" w:rsidP="00CC7421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C7421" w:rsidRPr="00CE2EEA" w:rsidRDefault="00CC7421" w:rsidP="008917F5">
            <w:pPr>
              <w:rPr>
                <w:rFonts w:ascii="Trebuchet MS" w:hAnsi="Trebuchet MS"/>
                <w:sz w:val="22"/>
                <w:szCs w:val="22"/>
              </w:rPr>
            </w:pPr>
            <w:r w:rsidRPr="00CE2EEA">
              <w:rPr>
                <w:rFonts w:ascii="Trebuchet MS" w:hAnsi="Trebuchet MS"/>
                <w:sz w:val="22"/>
                <w:szCs w:val="22"/>
              </w:rPr>
              <w:t>Pentru proiectele care prevăd o țintă</w:t>
            </w:r>
            <w:r w:rsidR="007E62BF" w:rsidRPr="00CE2EEA">
              <w:rPr>
                <w:rFonts w:ascii="Trebuchet MS" w:hAnsi="Trebuchet MS"/>
                <w:sz w:val="22"/>
                <w:szCs w:val="22"/>
              </w:rPr>
              <w:t xml:space="preserve"> a indicatorului de rezultat </w:t>
            </w:r>
            <w:r w:rsidR="00585F2E" w:rsidRPr="00585F2E">
              <w:rPr>
                <w:rFonts w:ascii="Trebuchet MS" w:hAnsi="Trebuchet MS"/>
                <w:sz w:val="22"/>
                <w:szCs w:val="22"/>
              </w:rPr>
              <w:t xml:space="preserve">4S2 Tineri NEETs șomeri care,  la încetarea calității de participant au un loc de muncă, inclusiv cei care desfășoară o activitate independentă,  din care: Romi, din zona rurală 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de </w:t>
            </w:r>
            <w:r w:rsidR="006D5269">
              <w:rPr>
                <w:rFonts w:ascii="Trebuchet MS" w:hAnsi="Trebuchet MS"/>
                <w:sz w:val="22"/>
                <w:szCs w:val="22"/>
              </w:rPr>
              <w:t>5</w:t>
            </w:r>
            <w:r w:rsidRPr="00CE2EEA">
              <w:rPr>
                <w:rFonts w:ascii="Trebuchet MS" w:hAnsi="Trebuchet MS"/>
                <w:sz w:val="22"/>
                <w:szCs w:val="22"/>
              </w:rPr>
              <w:t>0% din indicatorul de realizare 4S</w:t>
            </w:r>
            <w:r w:rsidR="008917F5">
              <w:rPr>
                <w:rFonts w:ascii="Trebuchet MS" w:hAnsi="Trebuchet MS"/>
                <w:sz w:val="22"/>
                <w:szCs w:val="22"/>
              </w:rPr>
              <w:t>1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EA">
              <w:rPr>
                <w:rFonts w:ascii="Trebuchet MS" w:hAnsi="Trebuchet MS"/>
                <w:b/>
                <w:sz w:val="22"/>
                <w:szCs w:val="22"/>
              </w:rPr>
              <w:t>(ELEMENT DE ELIGIBILITATE)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7421" w:rsidRPr="00CC7421" w:rsidRDefault="00CC7421" w:rsidP="00CC7421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CC7421"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421" w:rsidRPr="004A76C2" w:rsidRDefault="00CC7421" w:rsidP="00CC7421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CE2EEA" w:rsidRDefault="006D5269" w:rsidP="006D5269">
            <w:r w:rsidRPr="00CE2EEA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4S</w:t>
            </w:r>
            <w:r>
              <w:rPr>
                <w:rFonts w:ascii="Trebuchet MS" w:hAnsi="Trebuchet MS"/>
                <w:sz w:val="22"/>
                <w:szCs w:val="22"/>
              </w:rPr>
              <w:t>2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&gt;5</w:t>
            </w:r>
            <w:r w:rsidRPr="00CE2EEA">
              <w:rPr>
                <w:rFonts w:ascii="Trebuchet MS" w:hAnsi="Trebuchet MS"/>
                <w:sz w:val="22"/>
                <w:szCs w:val="22"/>
              </w:rPr>
              <w:t>0% din indicatorul de realizare 4S</w:t>
            </w:r>
            <w:r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CC7421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EAF1DD" w:themeFill="accent3" w:themeFillTint="33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D5269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</w:tcPr>
          <w:p w:rsidR="006D5269" w:rsidRPr="00CE2EEA" w:rsidRDefault="006D5269" w:rsidP="004B6C3F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6D5269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Indicatorul de rezultat </w:t>
            </w:r>
            <w:r w:rsidRPr="006D5269">
              <w:rPr>
                <w:rFonts w:ascii="Trebuchet MS" w:hAnsi="Trebuchet MS"/>
                <w:b/>
                <w:sz w:val="22"/>
                <w:szCs w:val="22"/>
              </w:rPr>
              <w:t>4S</w:t>
            </w:r>
            <w:r w:rsidR="004B6C3F">
              <w:rPr>
                <w:rFonts w:ascii="Trebuchet MS" w:hAnsi="Trebuchet MS"/>
                <w:b/>
                <w:sz w:val="22"/>
                <w:szCs w:val="22"/>
              </w:rPr>
              <w:t>3</w:t>
            </w:r>
            <w:r w:rsidRPr="006D5269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4B6C3F" w:rsidRPr="004B6C3F">
              <w:rPr>
                <w:rFonts w:ascii="Trebuchet MS" w:hAnsi="Trebuchet MS"/>
                <w:b/>
                <w:sz w:val="22"/>
                <w:szCs w:val="22"/>
              </w:rPr>
              <w:t>Tineri NEETs șomeri care, la încetarea calității de participant dobândesc o calificare, din care: romi/din zona rurală</w:t>
            </w:r>
            <w:r w:rsidRPr="006D5269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6D5269">
              <w:rPr>
                <w:rFonts w:ascii="Trebuchet MS" w:hAnsi="Trebuchet MS"/>
                <w:b/>
                <w:bCs/>
                <w:sz w:val="22"/>
                <w:szCs w:val="22"/>
              </w:rPr>
              <w:t>este corelat cu obiectivele proiectului şi conduc la îndeplinirea obiectivelor de program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Punctajele sunt disjunctive</w:t>
            </w:r>
          </w:p>
        </w:tc>
      </w:tr>
      <w:tr w:rsidR="006D5269" w:rsidRPr="004A76C2" w:rsidTr="00B664B2">
        <w:trPr>
          <w:trHeight w:val="59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CE2EEA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E2EEA">
              <w:rPr>
                <w:rFonts w:ascii="Trebuchet MS" w:hAnsi="Trebuchet MS"/>
                <w:sz w:val="22"/>
                <w:szCs w:val="22"/>
              </w:rPr>
              <w:t xml:space="preserve">Pentru </w:t>
            </w:r>
            <w:r w:rsidRPr="005E6C84">
              <w:rPr>
                <w:rFonts w:ascii="Trebuchet MS" w:hAnsi="Trebuchet MS"/>
                <w:sz w:val="22"/>
                <w:szCs w:val="22"/>
              </w:rPr>
              <w:t xml:space="preserve">proiectele care prevăd o țintă a indicatorului de rezultat </w:t>
            </w:r>
            <w:r w:rsidR="004B6C3F" w:rsidRPr="005E6C84">
              <w:rPr>
                <w:rFonts w:ascii="Trebuchet MS" w:hAnsi="Trebuchet MS"/>
                <w:sz w:val="22"/>
                <w:szCs w:val="22"/>
              </w:rPr>
              <w:t>4S3</w:t>
            </w:r>
            <w:r w:rsidRPr="005E6C84">
              <w:rPr>
                <w:rFonts w:ascii="Trebuchet MS" w:hAnsi="Trebuchet MS"/>
                <w:sz w:val="22"/>
                <w:szCs w:val="22"/>
              </w:rPr>
              <w:t xml:space="preserve"> Tineri NEETs șomeri care,  </w:t>
            </w:r>
            <w:r w:rsidR="005E6C84" w:rsidRPr="005E6C84">
              <w:rPr>
                <w:rFonts w:ascii="Trebuchet MS" w:hAnsi="Trebuchet MS"/>
                <w:sz w:val="22"/>
                <w:szCs w:val="22"/>
              </w:rPr>
              <w:t xml:space="preserve">la încetarea calității de participant dobândesc o calificare, din care: romi/din zona rurală </w:t>
            </w:r>
            <w:r w:rsidRPr="005E6C84">
              <w:rPr>
                <w:rFonts w:ascii="Trebuchet MS" w:hAnsi="Trebuchet MS"/>
                <w:sz w:val="22"/>
                <w:szCs w:val="22"/>
              </w:rPr>
              <w:t xml:space="preserve">de </w:t>
            </w:r>
            <w:r w:rsidR="004B6C3F" w:rsidRPr="005E6C84">
              <w:rPr>
                <w:rFonts w:ascii="Trebuchet MS" w:hAnsi="Trebuchet MS"/>
                <w:sz w:val="22"/>
                <w:szCs w:val="22"/>
              </w:rPr>
              <w:t>8</w:t>
            </w:r>
            <w:r w:rsidRPr="005E6C84">
              <w:rPr>
                <w:rFonts w:ascii="Trebuchet MS" w:hAnsi="Trebuchet MS"/>
                <w:sz w:val="22"/>
                <w:szCs w:val="22"/>
              </w:rPr>
              <w:t>0% din indicatorul de realizare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4S</w:t>
            </w: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E2EEA">
              <w:rPr>
                <w:rFonts w:ascii="Trebuchet MS" w:hAnsi="Trebuchet MS"/>
                <w:b/>
                <w:sz w:val="22"/>
                <w:szCs w:val="22"/>
              </w:rPr>
              <w:t>(ELEMENT DE ELIGIBILITATE)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CC7421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CE2EEA" w:rsidRDefault="006D5269" w:rsidP="006D5269">
            <w:pPr>
              <w:jc w:val="both"/>
            </w:pPr>
            <w:r w:rsidRPr="00CE2EEA">
              <w:rPr>
                <w:rFonts w:ascii="Trebuchet MS" w:hAnsi="Trebuchet MS"/>
                <w:sz w:val="22"/>
                <w:szCs w:val="22"/>
              </w:rPr>
              <w:t>Pentru proiectele care prevăd o țintă a indicatorului de rezultat 4S</w:t>
            </w:r>
            <w:r w:rsidR="004B6C3F">
              <w:rPr>
                <w:rFonts w:ascii="Trebuchet MS" w:hAnsi="Trebuchet MS"/>
                <w:sz w:val="22"/>
                <w:szCs w:val="22"/>
              </w:rPr>
              <w:t>3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B6C3F">
              <w:rPr>
                <w:rFonts w:ascii="Trebuchet MS" w:hAnsi="Trebuchet MS"/>
                <w:sz w:val="22"/>
                <w:szCs w:val="22"/>
              </w:rPr>
              <w:t>&gt;8</w:t>
            </w:r>
            <w:r w:rsidRPr="00CE2EEA">
              <w:rPr>
                <w:rFonts w:ascii="Trebuchet MS" w:hAnsi="Trebuchet MS"/>
                <w:sz w:val="22"/>
                <w:szCs w:val="22"/>
              </w:rPr>
              <w:t>0% din indicatorul de realizare 4S</w:t>
            </w:r>
            <w:r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CC7421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D206AB" w:rsidTr="00B664B2">
        <w:trPr>
          <w:trHeight w:val="8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D206AB" w:rsidRDefault="006D5269" w:rsidP="006D5269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6D5269" w:rsidRPr="00D206AB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2.3. 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:rsidR="006D5269" w:rsidRPr="00D206AB" w:rsidRDefault="006D5269" w:rsidP="006D5269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Este identificata modalitatea de recrutare a grupului tinta al proiectului si proiectul justifica de ce sunt abordate anumite categorii specific de persoane care fac parte din grupul tinta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D206AB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D206AB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D206AB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566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prezintă detalii privind identificarea şi implicarea în activitățile proiectului a grupului țintă  (asigurarea prezentei numărului de membri propuşi)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61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2.4.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prezintă valoare adăugată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44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prezintă beneficiile suplimentare pe care membrii grupului țintă le primesc ca urmare a implementării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39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prezintă impactul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sz w:val="22"/>
                <w:szCs w:val="22"/>
              </w:rPr>
              <w:t>estimat asupra grupului ţintă şi asupra domeniului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64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2.5.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prevede masuri de monitorizare adecvate in raport cu complexitatea proiectului, pentru a asigura atingerea rezultatelor vizate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prevede măsuri adecvate de monitorizare pentru </w:t>
            </w:r>
            <w:r>
              <w:rPr>
                <w:rFonts w:ascii="Trebuchet MS" w:hAnsi="Trebuchet MS"/>
                <w:i/>
                <w:sz w:val="22"/>
                <w:szCs w:val="22"/>
              </w:rPr>
              <w:t>ucenicie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în raport cu complexitatea acesteia, pentru a asigura atingerea rezultatelor propuse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Proiectul prevede măsuri adecvate de monitorizare pentru </w:t>
            </w:r>
            <w:r>
              <w:rPr>
                <w:rFonts w:ascii="Trebuchet MS" w:hAnsi="Trebuchet MS"/>
                <w:i/>
                <w:sz w:val="22"/>
                <w:szCs w:val="22"/>
              </w:rPr>
              <w:t xml:space="preserve">stagii, 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în raport cu complexitatea lor, pentru a asigura atingerea rezultatelor propuse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82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2.6.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În proiect sunt identificate supozitiile si riscurile care pot afecta atingerea obiectivelor proiectului şi este prevăzut un plan de gestionare a acestora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60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Sunt descrise premisele pe baza carora proiectul poate fi implementat cu succes, precum si riscurile si impactul acestora asupra desfasurarii proiectului si a atingerii indicatorilor propusi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60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4A76C2" w:rsidRDefault="006D5269" w:rsidP="00C35F67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Sunt prezentate măsurile de prevenire a apariției riscurilor şi de atenuare a efectelor acestora,in cazul aparitiei lor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D5269" w:rsidRPr="004A76C2" w:rsidRDefault="006D5269" w:rsidP="00C35F67">
            <w:pPr>
              <w:spacing w:after="24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Descrierea riscurilor si a eficientei masurilor de preventive si de minimizare a efectelor este realista (nu se va acorda prioritate numarului riscurilor identificate)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1331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EFICIENȚĂ – Măsura în care proiectul asigură utilizarea optimă a resurselor financiare în termeni de rezonabilitate a costurilor, fundamentarea bugetului, respectarea plafoanelor prevăzute in Orientările Generale în vederea atingerii rezultatelor propuse, precum și asigurarea capacitații operaționale a solicitantului și a partenerilor, acolo unde proiectul se implementeaza in parteneriat (maxim 30 puncte; minim 21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6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hideMark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Costurile incluse in buget sunt realiste in raport cu nivelul pietei, fundamentate printr-o analiza realizata de solicitant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431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Costurile incluse in buget sunt oportune in raport cu activitatile propuse si rezultatele asteptate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2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269" w:rsidRPr="004A76C2" w:rsidRDefault="006D5269" w:rsidP="00C35F6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Exista un raport rezonabil intre rezultatele urmarite si costul alocat acestora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3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269" w:rsidRDefault="006D5269" w:rsidP="00C35F67">
            <w:pPr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 xml:space="preserve">Nivelurile costurilor estimate sunt adecvate optiunilor tehnice propuse si specificului activitatilor, rezultatelor si resurselor existente. </w:t>
            </w:r>
          </w:p>
          <w:p w:rsidR="006D5269" w:rsidRPr="00A17732" w:rsidRDefault="006D5269" w:rsidP="00C35F67">
            <w:pPr>
              <w:jc w:val="both"/>
              <w:rPr>
                <w:rFonts w:ascii="Trebuchet MS" w:hAnsi="Trebuchet MS"/>
                <w:bCs/>
                <w:i/>
                <w:sz w:val="22"/>
                <w:szCs w:val="22"/>
              </w:rPr>
            </w:pPr>
            <w:r w:rsidRPr="00A17732">
              <w:rPr>
                <w:rFonts w:ascii="Trebuchet MS" w:hAnsi="Trebuchet MS"/>
                <w:bCs/>
                <w:i/>
                <w:sz w:val="22"/>
                <w:szCs w:val="22"/>
              </w:rPr>
              <w:t>Nu se vor analiza cheltuielile efectuate exclusiv in beneficiul managementului/administrarii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71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3.3.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2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lastRenderedPageBreak/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Experiența profesională a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managerului de proiect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este relevantă pentru domeniul  proiectului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48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Echipa de implementare a proiectului </w:t>
            </w:r>
            <w:r w:rsidRPr="004A76C2">
              <w:rPr>
                <w:rFonts w:ascii="Trebuchet MS" w:hAnsi="Trebuchet MS"/>
                <w:sz w:val="22"/>
                <w:szCs w:val="22"/>
              </w:rPr>
              <w:t>– experții cheie implicați în activitatile proiectului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sunt adecvati ca număr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,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expertiză și durată de implicare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în raport cu planul de implementare a proiectului și cu rezultatele estimate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60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Implicarea in proiect a tuturor membrilor echipei este adecvata realizarilor propuse si planificarii activitatilor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8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Pozițiile membrilor echipei de management a proiectului sunt justificate, având atribuții individuale, care nu se suprapun, </w:t>
            </w:r>
            <w:r w:rsidRPr="00CE2EEA">
              <w:rPr>
                <w:rFonts w:ascii="Trebuchet MS" w:hAnsi="Trebuchet MS"/>
                <w:sz w:val="22"/>
                <w:szCs w:val="22"/>
              </w:rPr>
              <w:t>chiar dacă proiectul se implementează în parteneriat</w:t>
            </w:r>
            <w:r>
              <w:rPr>
                <w:rFonts w:ascii="Trebuchet MS" w:hAnsi="Trebuchet MS"/>
                <w:sz w:val="22"/>
                <w:szCs w:val="22"/>
              </w:rPr>
              <w:t xml:space="preserve"> (daca e cazul)</w:t>
            </w:r>
            <w:r w:rsidRPr="00CE2EEA">
              <w:rPr>
                <w:rFonts w:ascii="Trebuchet MS" w:hAnsi="Trebuchet MS"/>
                <w:sz w:val="22"/>
                <w:szCs w:val="22"/>
              </w:rPr>
              <w:t xml:space="preserve"> sau se apelează la externalizare;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62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3.4.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57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Resursele materiale puse la dispoziție de solicitant și/sau parteneri, daca este cazul</w:t>
            </w:r>
            <w:r w:rsidRPr="004A76C2">
              <w:rPr>
                <w:rFonts w:ascii="Trebuchet MS" w:hAnsi="Trebuchet MS"/>
                <w:sz w:val="22"/>
                <w:szCs w:val="22"/>
              </w:rPr>
              <w:t xml:space="preserve"> sunt utile pentru buna implementare a proiectului (sedii, echipamente IT, mijloace de transport etc.)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584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Necesitatea resurselor materiale ce urmează a fi achiziționate din bugetul proiectului este justificată și contribuie la buna implementare acestora (sedii, echipamente IT si mijloace de transport</w:t>
            </w:r>
            <w:r>
              <w:rPr>
                <w:rFonts w:ascii="Trebuchet MS" w:hAnsi="Trebuchet MS"/>
                <w:sz w:val="22"/>
                <w:szCs w:val="22"/>
              </w:rPr>
              <w:t xml:space="preserve"> etc</w:t>
            </w:r>
            <w:r w:rsidRPr="004A76C2"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539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3.5.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Planificarea activităților proiectului este raţională în raport cu natura activităților propuse și cu rezultatele așteptate.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377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Planificarea activităților se face in functie de natura acestora, succesiunea lor este logica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413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Termenele de realizare tin cont de durata de obtinere a rezultatelor si de resursele puse la dispozitie prin proiect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69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SUSTENABILITATE – măsura în care proiectul asigură continuarea efectelor sale şi valorificarea rezultatelor obținute după încetarea sursei de finanțare (maxim 10 puncte; minim 7 puncte)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66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include activitati in timpul implementarii care duc la valorificarea rezultatelor proiectului dupa finalizarea acestuia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punctajele sunt cumulative </w:t>
            </w:r>
          </w:p>
        </w:tc>
      </w:tr>
      <w:tr w:rsidR="006D5269" w:rsidRPr="004A76C2" w:rsidTr="00B664B2">
        <w:trPr>
          <w:trHeight w:val="123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Proiectul are prevăzute, din timpul implementării, acţiuni/activităţi care duc la sustenabilitatea proiectului (de exemplu, crearea de parteneriate, implicare în proiect a altor factori interesaţi, alocarea în bugetul viitor a unei sume pentru continuarea activităţii, valorificarea rezultatelor printr-un alt proiect/alte activităţi, demararea unor activităţi care să continue proiectul prezent etc.)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</w:tr>
      <w:tr w:rsidR="006D5269" w:rsidRPr="004A76C2" w:rsidTr="00B664B2">
        <w:trPr>
          <w:trHeight w:val="61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> </w:t>
            </w:r>
          </w:p>
        </w:tc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4A76C2">
              <w:rPr>
                <w:rFonts w:ascii="Trebuchet MS" w:hAnsi="Trebuchet MS"/>
                <w:sz w:val="22"/>
                <w:szCs w:val="22"/>
              </w:rPr>
              <w:t xml:space="preserve">Planul de implementare al proiectului include etapele de validare/avizare/aprobare a rezultatelor immediate de catre stakeholder, ca premise a asigurarii sustenabilitatii;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76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4.2</w:t>
            </w: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Proiectul include activitati in timpul implementarii care duc la transferabilitatea</w:t>
            </w:r>
          </w:p>
          <w:p w:rsidR="006D5269" w:rsidRPr="004A76C2" w:rsidRDefault="006D5269" w:rsidP="006D5269">
            <w:pPr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rezultatelor proiectului catre alt grup tinta/sector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</w:t>
            </w:r>
            <w:r w:rsidRPr="004A76C2">
              <w:rPr>
                <w:rFonts w:ascii="Trebuchet MS" w:hAnsi="Trebuchet MS"/>
                <w:sz w:val="22"/>
                <w:szCs w:val="22"/>
              </w:rPr>
              <w:t>Utilizarea rezultatelor proiectului in activitati/ proiecte ulterioare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punctajele sunt cumulative</w:t>
            </w:r>
          </w:p>
        </w:tc>
      </w:tr>
      <w:tr w:rsidR="006D5269" w:rsidRPr="004A76C2" w:rsidTr="00B664B2">
        <w:trPr>
          <w:trHeight w:val="512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269" w:rsidRPr="00443191" w:rsidRDefault="006D5269" w:rsidP="006D5269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Diseminarea rezultatelor către alte entităţi (de exemplu metodologii, materiale de instruire, curricula etc.);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35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269" w:rsidRPr="00443191" w:rsidRDefault="006D5269" w:rsidP="006D5269">
            <w:pPr>
              <w:spacing w:after="120" w:line="276" w:lineRule="auto"/>
              <w:ind w:left="88"/>
              <w:jc w:val="both"/>
              <w:rPr>
                <w:rFonts w:ascii="Trebuchet MS" w:eastAsia="MS Mincho" w:hAnsi="Trebuchet MS" w:cs="Arial"/>
                <w:lang w:val="ro-RO"/>
              </w:rPr>
            </w:pPr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Utilizarea rezultatelor proiectului în activităţi/proiecte ulterioare;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6D5269" w:rsidRPr="004A76C2" w:rsidTr="00B664B2">
        <w:trPr>
          <w:trHeight w:val="638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269" w:rsidRPr="004A76C2" w:rsidRDefault="006D5269" w:rsidP="006D5269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269" w:rsidRPr="00443191" w:rsidRDefault="006D5269" w:rsidP="006D5269">
            <w:r w:rsidRPr="00443191">
              <w:rPr>
                <w:rFonts w:ascii="Trebuchet MS" w:eastAsia="MS Mincho" w:hAnsi="Trebuchet MS" w:cs="Arial"/>
                <w:sz w:val="22"/>
                <w:szCs w:val="22"/>
                <w:lang w:val="ro-RO"/>
              </w:rPr>
              <w:t>Proiectul și/sau rezultatele obținute în urma implementării acestuia sunt multiplicate la diferite niveluri (local, regional, sectorial, național).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269" w:rsidRPr="004A76C2" w:rsidRDefault="006D5269" w:rsidP="006D526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:rsidR="003E5104" w:rsidRDefault="003E5104" w:rsidP="00832386">
      <w:pPr>
        <w:rPr>
          <w:rFonts w:ascii="Trebuchet MS" w:hAnsi="Trebuchet MS"/>
          <w:sz w:val="22"/>
          <w:szCs w:val="22"/>
        </w:rPr>
      </w:pPr>
    </w:p>
    <w:tbl>
      <w:tblPr>
        <w:tblW w:w="15045" w:type="dxa"/>
        <w:tblInd w:w="-775" w:type="dxa"/>
        <w:tblLook w:val="04A0" w:firstRow="1" w:lastRow="0" w:firstColumn="1" w:lastColumn="0" w:noHBand="0" w:noVBand="1"/>
      </w:tblPr>
      <w:tblGrid>
        <w:gridCol w:w="584"/>
        <w:gridCol w:w="11047"/>
        <w:gridCol w:w="1403"/>
        <w:gridCol w:w="2011"/>
      </w:tblGrid>
      <w:tr w:rsidR="000D74A9" w:rsidRPr="004A76C2" w:rsidTr="000322D8">
        <w:trPr>
          <w:trHeight w:val="55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4A9" w:rsidRPr="004A76C2" w:rsidRDefault="000D74A9" w:rsidP="000322D8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4A9" w:rsidRDefault="000D74A9" w:rsidP="000322D8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0D74A9" w:rsidRPr="004A76C2" w:rsidRDefault="000D74A9" w:rsidP="000322D8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Observații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D74A9" w:rsidRPr="004A76C2" w:rsidRDefault="000D74A9" w:rsidP="000322D8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4A76C2">
              <w:rPr>
                <w:rFonts w:ascii="Trebuchet MS" w:hAnsi="Trebuchet M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A9" w:rsidRPr="004A76C2" w:rsidRDefault="000D74A9" w:rsidP="000322D8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0D74A9" w:rsidRPr="004A76C2" w:rsidTr="000322D8">
        <w:trPr>
          <w:trHeight w:val="1529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74A9" w:rsidRPr="004A76C2" w:rsidRDefault="000D74A9" w:rsidP="000322D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74A9" w:rsidRPr="004A76C2" w:rsidRDefault="000D74A9" w:rsidP="000322D8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Notarea cu </w:t>
            </w:r>
            <w:r w:rsidRPr="004A76C2">
              <w:rPr>
                <w:rFonts w:ascii="Trebuchet MS" w:hAnsi="Trebuchet MS"/>
                <w:sz w:val="22"/>
                <w:szCs w:val="22"/>
              </w:rPr>
              <w:t>0 a unui subcriteriu NU conduce la respingerea proiectului, procesul de evaluare şi selecţie continuându-se, în funcţie de punctajul final obţinut de proiect.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Punctajul aferent unui criteriu reprezintă suma punctajelor obținute la fiecare subcriteriu aferent.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Punctajul final reprezintă suma punctajelor obținute la toate cele 4 criterii.</w:t>
            </w:r>
            <w:r w:rsidRPr="004A76C2">
              <w:rPr>
                <w:rFonts w:ascii="Trebuchet MS" w:hAnsi="Trebuchet MS"/>
                <w:sz w:val="22"/>
                <w:szCs w:val="22"/>
              </w:rPr>
              <w:br/>
              <w:t>Un proiect va fi selectat pentru finanţare numai dacă va cumula în urma evaluării un punctaj minim de 70 de puncte, precum și punctajul minim pe fiecare dintre cele 4 criterii.</w:t>
            </w:r>
          </w:p>
        </w:tc>
      </w:tr>
    </w:tbl>
    <w:p w:rsidR="000D74A9" w:rsidRPr="004A76C2" w:rsidRDefault="000D74A9" w:rsidP="000D74A9">
      <w:pPr>
        <w:rPr>
          <w:lang w:val="ro-RO"/>
        </w:rPr>
      </w:pPr>
    </w:p>
    <w:p w:rsidR="000D74A9" w:rsidRPr="00B66894" w:rsidRDefault="000D74A9" w:rsidP="00832386">
      <w:pPr>
        <w:rPr>
          <w:rFonts w:ascii="Trebuchet MS" w:hAnsi="Trebuchet MS"/>
          <w:sz w:val="22"/>
          <w:szCs w:val="22"/>
        </w:rPr>
      </w:pPr>
      <w:bookmarkStart w:id="1" w:name="_GoBack"/>
      <w:bookmarkEnd w:id="1"/>
    </w:p>
    <w:sectPr w:rsidR="000D74A9" w:rsidRPr="00B66894" w:rsidSect="004A76C2">
      <w:pgSz w:w="16838" w:h="11906" w:orient="landscape"/>
      <w:pgMar w:top="540" w:right="728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8AE" w:rsidRDefault="00FD48AE" w:rsidP="00C232EA">
      <w:r>
        <w:separator/>
      </w:r>
    </w:p>
  </w:endnote>
  <w:endnote w:type="continuationSeparator" w:id="0">
    <w:p w:rsidR="00FD48AE" w:rsidRDefault="00FD48AE" w:rsidP="00C2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8AE" w:rsidRDefault="00FD48AE" w:rsidP="00C232EA">
      <w:r>
        <w:separator/>
      </w:r>
    </w:p>
  </w:footnote>
  <w:footnote w:type="continuationSeparator" w:id="0">
    <w:p w:rsidR="00FD48AE" w:rsidRDefault="00FD48AE" w:rsidP="00C23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3122D"/>
    <w:multiLevelType w:val="hybridMultilevel"/>
    <w:tmpl w:val="B91E465C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F7B4C"/>
    <w:multiLevelType w:val="hybridMultilevel"/>
    <w:tmpl w:val="DF486176"/>
    <w:lvl w:ilvl="0" w:tplc="60CAA066">
      <w:start w:val="1"/>
      <w:numFmt w:val="bullet"/>
      <w:lvlText w:val=""/>
      <w:lvlJc w:val="left"/>
      <w:pPr>
        <w:ind w:left="1170" w:hanging="360"/>
      </w:pPr>
      <w:rPr>
        <w:rFonts w:ascii="Wingdings 3" w:hAnsi="Wingdings 3" w:hint="default"/>
        <w:color w:val="000000" w:themeColor="text1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F4"/>
    <w:rsid w:val="00005BCA"/>
    <w:rsid w:val="0000645E"/>
    <w:rsid w:val="00034FE4"/>
    <w:rsid w:val="00046744"/>
    <w:rsid w:val="00080A73"/>
    <w:rsid w:val="0008632D"/>
    <w:rsid w:val="00093218"/>
    <w:rsid w:val="000A05E3"/>
    <w:rsid w:val="000A69EC"/>
    <w:rsid w:val="000B7559"/>
    <w:rsid w:val="000D74A9"/>
    <w:rsid w:val="000E0490"/>
    <w:rsid w:val="000E656B"/>
    <w:rsid w:val="000F6DBA"/>
    <w:rsid w:val="00100458"/>
    <w:rsid w:val="00144DDA"/>
    <w:rsid w:val="00160079"/>
    <w:rsid w:val="0017662B"/>
    <w:rsid w:val="00183BF0"/>
    <w:rsid w:val="001A040B"/>
    <w:rsid w:val="001B326B"/>
    <w:rsid w:val="001B60D5"/>
    <w:rsid w:val="001C4A88"/>
    <w:rsid w:val="001F37F8"/>
    <w:rsid w:val="00210BD6"/>
    <w:rsid w:val="00215960"/>
    <w:rsid w:val="00221D54"/>
    <w:rsid w:val="00227339"/>
    <w:rsid w:val="00230D21"/>
    <w:rsid w:val="002341C1"/>
    <w:rsid w:val="002653F7"/>
    <w:rsid w:val="002710FC"/>
    <w:rsid w:val="00276FDC"/>
    <w:rsid w:val="00285374"/>
    <w:rsid w:val="002A08E6"/>
    <w:rsid w:val="002A093E"/>
    <w:rsid w:val="002A3088"/>
    <w:rsid w:val="002A7CDF"/>
    <w:rsid w:val="002C5B41"/>
    <w:rsid w:val="002D2838"/>
    <w:rsid w:val="002E680F"/>
    <w:rsid w:val="00305117"/>
    <w:rsid w:val="003069F1"/>
    <w:rsid w:val="003416F9"/>
    <w:rsid w:val="00341DFC"/>
    <w:rsid w:val="00366613"/>
    <w:rsid w:val="003901AB"/>
    <w:rsid w:val="00395095"/>
    <w:rsid w:val="003A71BE"/>
    <w:rsid w:val="003D5D6A"/>
    <w:rsid w:val="003E2FCC"/>
    <w:rsid w:val="003E5104"/>
    <w:rsid w:val="00410DCA"/>
    <w:rsid w:val="00414560"/>
    <w:rsid w:val="00420D2A"/>
    <w:rsid w:val="00421FC4"/>
    <w:rsid w:val="00433F08"/>
    <w:rsid w:val="00443191"/>
    <w:rsid w:val="00465FE8"/>
    <w:rsid w:val="0047300E"/>
    <w:rsid w:val="004753EE"/>
    <w:rsid w:val="00481018"/>
    <w:rsid w:val="00482B64"/>
    <w:rsid w:val="0049552E"/>
    <w:rsid w:val="004A73B4"/>
    <w:rsid w:val="004A76C2"/>
    <w:rsid w:val="004B6C3F"/>
    <w:rsid w:val="004C14F7"/>
    <w:rsid w:val="004F08B0"/>
    <w:rsid w:val="004F791E"/>
    <w:rsid w:val="005008F8"/>
    <w:rsid w:val="0051531D"/>
    <w:rsid w:val="00536CDF"/>
    <w:rsid w:val="00541009"/>
    <w:rsid w:val="005660DD"/>
    <w:rsid w:val="0057348E"/>
    <w:rsid w:val="00585F2E"/>
    <w:rsid w:val="00592FDB"/>
    <w:rsid w:val="005934F3"/>
    <w:rsid w:val="005A488E"/>
    <w:rsid w:val="005E4BB8"/>
    <w:rsid w:val="005E6C84"/>
    <w:rsid w:val="00605952"/>
    <w:rsid w:val="00606FD8"/>
    <w:rsid w:val="0062308B"/>
    <w:rsid w:val="00624687"/>
    <w:rsid w:val="0062493B"/>
    <w:rsid w:val="00642EF1"/>
    <w:rsid w:val="006522CB"/>
    <w:rsid w:val="006534ED"/>
    <w:rsid w:val="00656EEF"/>
    <w:rsid w:val="00657270"/>
    <w:rsid w:val="0066360E"/>
    <w:rsid w:val="006671D0"/>
    <w:rsid w:val="00682A2A"/>
    <w:rsid w:val="00686245"/>
    <w:rsid w:val="006A6C37"/>
    <w:rsid w:val="006D5269"/>
    <w:rsid w:val="006E61FA"/>
    <w:rsid w:val="006F53A8"/>
    <w:rsid w:val="00710E24"/>
    <w:rsid w:val="00724D78"/>
    <w:rsid w:val="00731C2C"/>
    <w:rsid w:val="0073437E"/>
    <w:rsid w:val="00742DAC"/>
    <w:rsid w:val="00742FF8"/>
    <w:rsid w:val="00764186"/>
    <w:rsid w:val="00783A9D"/>
    <w:rsid w:val="00791821"/>
    <w:rsid w:val="00796E80"/>
    <w:rsid w:val="0079716C"/>
    <w:rsid w:val="007B3C62"/>
    <w:rsid w:val="007B711E"/>
    <w:rsid w:val="007D3FBC"/>
    <w:rsid w:val="007D7930"/>
    <w:rsid w:val="007D7D9D"/>
    <w:rsid w:val="007E4723"/>
    <w:rsid w:val="007E62BF"/>
    <w:rsid w:val="00816C3F"/>
    <w:rsid w:val="00832386"/>
    <w:rsid w:val="00841C48"/>
    <w:rsid w:val="00857D5A"/>
    <w:rsid w:val="008766FF"/>
    <w:rsid w:val="00882EF3"/>
    <w:rsid w:val="0088752F"/>
    <w:rsid w:val="008917F5"/>
    <w:rsid w:val="008A557B"/>
    <w:rsid w:val="008A5C34"/>
    <w:rsid w:val="008C563B"/>
    <w:rsid w:val="008C5BE5"/>
    <w:rsid w:val="008E0BC6"/>
    <w:rsid w:val="008F3CF4"/>
    <w:rsid w:val="0092231E"/>
    <w:rsid w:val="00945372"/>
    <w:rsid w:val="00955E39"/>
    <w:rsid w:val="009629ED"/>
    <w:rsid w:val="009A1EE7"/>
    <w:rsid w:val="009A302C"/>
    <w:rsid w:val="009A6072"/>
    <w:rsid w:val="009D29EA"/>
    <w:rsid w:val="009F779D"/>
    <w:rsid w:val="00A17732"/>
    <w:rsid w:val="00A23F23"/>
    <w:rsid w:val="00A471CC"/>
    <w:rsid w:val="00A47701"/>
    <w:rsid w:val="00A507DB"/>
    <w:rsid w:val="00A71329"/>
    <w:rsid w:val="00A9286F"/>
    <w:rsid w:val="00A949BF"/>
    <w:rsid w:val="00A9688B"/>
    <w:rsid w:val="00AA33C1"/>
    <w:rsid w:val="00AA43BE"/>
    <w:rsid w:val="00AA55FD"/>
    <w:rsid w:val="00AA6315"/>
    <w:rsid w:val="00AB26AD"/>
    <w:rsid w:val="00AC2F16"/>
    <w:rsid w:val="00AD7EAF"/>
    <w:rsid w:val="00AF3B8B"/>
    <w:rsid w:val="00AF5249"/>
    <w:rsid w:val="00AF7E9C"/>
    <w:rsid w:val="00B11E8F"/>
    <w:rsid w:val="00B15EB4"/>
    <w:rsid w:val="00B20E40"/>
    <w:rsid w:val="00B31B22"/>
    <w:rsid w:val="00B32216"/>
    <w:rsid w:val="00B42F70"/>
    <w:rsid w:val="00B576D4"/>
    <w:rsid w:val="00B6168E"/>
    <w:rsid w:val="00B62DBD"/>
    <w:rsid w:val="00B664B2"/>
    <w:rsid w:val="00B66894"/>
    <w:rsid w:val="00BF298E"/>
    <w:rsid w:val="00C17787"/>
    <w:rsid w:val="00C232EA"/>
    <w:rsid w:val="00C246F9"/>
    <w:rsid w:val="00C320CA"/>
    <w:rsid w:val="00C3443A"/>
    <w:rsid w:val="00C3576D"/>
    <w:rsid w:val="00C35F67"/>
    <w:rsid w:val="00C37138"/>
    <w:rsid w:val="00C42858"/>
    <w:rsid w:val="00C43FD5"/>
    <w:rsid w:val="00C67D96"/>
    <w:rsid w:val="00C82DA7"/>
    <w:rsid w:val="00C915C3"/>
    <w:rsid w:val="00C92EA6"/>
    <w:rsid w:val="00CA4241"/>
    <w:rsid w:val="00CA4A89"/>
    <w:rsid w:val="00CA53C6"/>
    <w:rsid w:val="00CC6E35"/>
    <w:rsid w:val="00CC7421"/>
    <w:rsid w:val="00CD27FA"/>
    <w:rsid w:val="00CD395F"/>
    <w:rsid w:val="00CE2EEA"/>
    <w:rsid w:val="00CE3B2E"/>
    <w:rsid w:val="00D01D77"/>
    <w:rsid w:val="00D206AB"/>
    <w:rsid w:val="00D20C22"/>
    <w:rsid w:val="00D26C57"/>
    <w:rsid w:val="00D44F72"/>
    <w:rsid w:val="00D77FC6"/>
    <w:rsid w:val="00DA4994"/>
    <w:rsid w:val="00DB1F86"/>
    <w:rsid w:val="00DB261C"/>
    <w:rsid w:val="00DB523B"/>
    <w:rsid w:val="00DD3824"/>
    <w:rsid w:val="00DE4D36"/>
    <w:rsid w:val="00DF52E4"/>
    <w:rsid w:val="00E53B46"/>
    <w:rsid w:val="00E65C3E"/>
    <w:rsid w:val="00E91201"/>
    <w:rsid w:val="00E926AB"/>
    <w:rsid w:val="00E937F2"/>
    <w:rsid w:val="00ED1F81"/>
    <w:rsid w:val="00EF142A"/>
    <w:rsid w:val="00F00EEA"/>
    <w:rsid w:val="00F0415D"/>
    <w:rsid w:val="00F15325"/>
    <w:rsid w:val="00F228B0"/>
    <w:rsid w:val="00F321E9"/>
    <w:rsid w:val="00F34E99"/>
    <w:rsid w:val="00F40ED4"/>
    <w:rsid w:val="00F42F36"/>
    <w:rsid w:val="00F73BB2"/>
    <w:rsid w:val="00F95A80"/>
    <w:rsid w:val="00F95FB9"/>
    <w:rsid w:val="00FA7E39"/>
    <w:rsid w:val="00FB1110"/>
    <w:rsid w:val="00FD48AE"/>
    <w:rsid w:val="00FE4C30"/>
    <w:rsid w:val="00FE5F8F"/>
    <w:rsid w:val="00FF05F6"/>
    <w:rsid w:val="00FF3166"/>
    <w:rsid w:val="00FF56BC"/>
    <w:rsid w:val="00FF5E3F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47EC98-22F2-431A-A0CE-A121D94F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232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C232EA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99"/>
    <w:qFormat/>
    <w:rsid w:val="00C232EA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99"/>
    <w:locked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unhideWhenUsed/>
    <w:rsid w:val="00C232EA"/>
    <w:rPr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unhideWhenUsed/>
    <w:rsid w:val="00C232EA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x-none" w:eastAsia="x-none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C232EA"/>
    <w:rPr>
      <w:rFonts w:ascii="Trebuchet MS" w:eastAsia="MS Mincho" w:hAnsi="Trebuchet MS" w:cs="Times New Roman"/>
      <w:sz w:val="20"/>
      <w:szCs w:val="20"/>
      <w:lang w:val="x-none" w:eastAsia="x-no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232E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232E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F06BE-90DB-4BC0-B7D8-4B6697D5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Olivia Rusandu</cp:lastModifiedBy>
  <cp:revision>17</cp:revision>
  <dcterms:created xsi:type="dcterms:W3CDTF">2017-10-02T13:59:00Z</dcterms:created>
  <dcterms:modified xsi:type="dcterms:W3CDTF">2017-10-12T09:17:00Z</dcterms:modified>
</cp:coreProperties>
</file>